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맑은 고딕" w:cs="맑은 고딕" w:eastAsia="맑은 고딕" w:hAnsi="맑은 고딕"/>
          <w:color w:val="777777"/>
          <w:sz w:val="16"/>
          <w:szCs w:val="16"/>
        </w:rPr>
        <w:t xml:space="preserve">한국수자원공사 · 웍스AI 에이전트 실습용 가상 자료</w:t>
      </w:r>
    </w:p>
    <w:p>
      <w:pPr>
        <w:spacing w:after="60"/>
      </w:pPr>
      <w:r>
        <w:rPr>
          <w:rFonts w:ascii="맑은 고딕" w:cs="맑은 고딕" w:eastAsia="맑은 고딕" w:hAnsi="맑은 고딕"/>
          <w:b/>
          <w:bCs/>
          <w:color w:val="1B3A5C"/>
          <w:sz w:val="32"/>
          <w:szCs w:val="32"/>
        </w:rPr>
        <w:t xml:space="preserve">사내 규정·지침 발췌 (가상)</w:t>
      </w:r>
    </w:p>
    <w:p>
      <w:pPr>
        <w:pBdr>
          <w:bottom w:val="single" w:color="2E75B6" w:sz="4" w:space="2"/>
        </w:pBdr>
        <w:spacing w:after="200"/>
      </w:pPr>
      <w:r>
        <w:rPr>
          <w:rFonts w:ascii="맑은 고딕" w:cs="맑은 고딕" w:eastAsia="맑은 고딕" w:hAnsi="맑은 고딕"/>
          <w:color w:val="2E75B6"/>
          <w:sz w:val="18"/>
          <w:szCs w:val="18"/>
        </w:rPr>
        <w:t xml:space="preserve">규정·지침 Q&amp;A봇 지식파일 · 문서·보고·대외업무 규정</w:t>
      </w:r>
    </w:p>
    <w:p>
      <w:pPr>
        <w:spacing w:after="100" w:line="320"/>
      </w:pPr>
      <w:r>
        <w:rPr>
          <w:rFonts w:ascii="맑은 고딕" w:cs="맑은 고딕" w:eastAsia="맑은 고딕" w:hAnsi="맑은 고딕"/>
          <w:i/>
          <w:iCs/>
          <w:color w:val="777777"/>
          <w:sz w:val="20"/>
          <w:szCs w:val="20"/>
        </w:rPr>
        <w:t xml:space="preserve">※ 본 문서는 실습용 가상 규정입니다. 실제 K-water 규정과 무관합니다.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제1장 총칙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제1조(목적)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이 지침은 한국수자원공사 임직원의 문서 작성·보고·대외 업무 처리에 관한 기본 사항을 정함을 목적으로 한다.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제2조(적용 범위)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이 지침은 본사 및 전 사업장의 일반 행정 업무에 적용한다. 다만, 별도 규정이 있는 경우 해당 규정을 우선한다.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제2장 문서·보고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제5조(보고 문서의 작성)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모든 보고 문서는 두문·본문·결문의 구조를 갖춘다.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경영진 보고 문서는 1매 요약(핵심 결론·근거·건의)을 첨부한다.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외부 공개 문서는 공보 부서의 사전 검토를 거친다.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제6조(전자결재)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전자결재는 기안 → 검토 → 결재의 단계로 진행하며, 긴급 사안은 선결재 후 사후 보고할 수 있다.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제3장 대외 업무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제11조(보도자료 배포)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보도자료는 사실에 근거하여 작성하고, 과장 표현을 금지한다.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배포 전 담당 부서장의 승인을 받는다.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제12조(민원 처리 기한)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0"/>
      </w:tblGrid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민원 종류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처리 기한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일반 민원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접수일로부터 7일 이내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질의·건의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접수일로부터 14일 이내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단순 안내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즉시 또는 3일 이내</w:t>
            </w:r>
          </w:p>
        </w:tc>
      </w:tr>
    </w:tbl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제13조(정보공개)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정보공개 청구는 관련 법령에 따라 처리하며, 비공개 대상 정보는 사유를 명시하여 안내한다.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2026-06-15T06:24:35.102Z</dcterms:created>
  <dcterms:modified xsi:type="dcterms:W3CDTF">2026-06-15T06:24:35.102Z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